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17" w:rsidRPr="00F639AB" w:rsidRDefault="00F639AB" w:rsidP="00F639AB">
      <w:pPr>
        <w:jc w:val="center"/>
        <w:rPr>
          <w:b/>
          <w:sz w:val="28"/>
          <w:szCs w:val="28"/>
        </w:rPr>
      </w:pPr>
      <w:r w:rsidRPr="00F639AB">
        <w:rPr>
          <w:b/>
          <w:sz w:val="28"/>
          <w:szCs w:val="28"/>
        </w:rPr>
        <w:t>Protect Your Horse from EIA</w:t>
      </w:r>
    </w:p>
    <w:p w:rsidR="00067D17" w:rsidRPr="00F639AB" w:rsidRDefault="00067D17" w:rsidP="00F639AB">
      <w:pPr>
        <w:rPr>
          <w:sz w:val="24"/>
          <w:szCs w:val="24"/>
        </w:rPr>
      </w:pPr>
    </w:p>
    <w:p w:rsidR="00067D17" w:rsidRPr="00F639AB" w:rsidRDefault="00F639AB" w:rsidP="00F639AB">
      <w:pPr>
        <w:rPr>
          <w:sz w:val="24"/>
          <w:szCs w:val="24"/>
        </w:rPr>
      </w:pPr>
      <w:r w:rsidRPr="00F639AB">
        <w:rPr>
          <w:sz w:val="24"/>
          <w:szCs w:val="24"/>
        </w:rPr>
        <w:t>Equine Infectious Anemia (EIA) is a potentially fatal disease that threatens the world’s horse, donkey and mule populations. The virus that causes EIA reproduces in the white blood cells that circulate throughout the body. The immune system, via antibodies</w:t>
      </w:r>
      <w:r w:rsidRPr="00F639AB">
        <w:rPr>
          <w:sz w:val="24"/>
          <w:szCs w:val="24"/>
        </w:rPr>
        <w:t>, may attack and destroy red blood cells, leading to anemia. Infected horses may die from the direct effects of the virus or from secondary infections.  Despite testing an</w:t>
      </w:r>
      <w:r>
        <w:rPr>
          <w:sz w:val="24"/>
          <w:szCs w:val="24"/>
        </w:rPr>
        <w:t>d measures to eradicate the EIA</w:t>
      </w:r>
      <w:r w:rsidRPr="00F639AB">
        <w:rPr>
          <w:sz w:val="24"/>
          <w:szCs w:val="24"/>
        </w:rPr>
        <w:t>, more than 500 new cases are identified each ye</w:t>
      </w:r>
      <w:r w:rsidRPr="00F639AB">
        <w:rPr>
          <w:sz w:val="24"/>
          <w:szCs w:val="24"/>
        </w:rPr>
        <w:t>ar in the U.S.</w:t>
      </w:r>
    </w:p>
    <w:p w:rsidR="00F639AB" w:rsidRDefault="00F639AB" w:rsidP="00F639AB">
      <w:pPr>
        <w:rPr>
          <w:sz w:val="24"/>
          <w:szCs w:val="24"/>
        </w:rPr>
      </w:pPr>
    </w:p>
    <w:p w:rsidR="00067D17" w:rsidRPr="00F639AB" w:rsidRDefault="00F639AB" w:rsidP="00F639AB">
      <w:pPr>
        <w:rPr>
          <w:sz w:val="24"/>
          <w:szCs w:val="24"/>
        </w:rPr>
      </w:pPr>
      <w:r w:rsidRPr="00F639AB">
        <w:rPr>
          <w:sz w:val="24"/>
          <w:szCs w:val="24"/>
        </w:rPr>
        <w:t>There is no cure for EIA. Although most horses show no symptoms, they remain contagious for life, endangering the health of other horses. For this reason, the United States Department of Agriculture and state animal health regulatory agencie</w:t>
      </w:r>
      <w:r w:rsidRPr="00F639AB">
        <w:rPr>
          <w:sz w:val="24"/>
          <w:szCs w:val="24"/>
        </w:rPr>
        <w:t>s require euthanasia or strict lifelong quarantine for horses testing positive for EIA.</w:t>
      </w:r>
    </w:p>
    <w:p w:rsidR="00F639AB" w:rsidRDefault="00F639AB" w:rsidP="00F639AB">
      <w:pPr>
        <w:rPr>
          <w:sz w:val="24"/>
          <w:szCs w:val="24"/>
        </w:rPr>
      </w:pPr>
    </w:p>
    <w:p w:rsidR="00067D17" w:rsidRPr="00F639AB" w:rsidRDefault="00F639AB" w:rsidP="00F639AB">
      <w:pPr>
        <w:rPr>
          <w:b/>
          <w:sz w:val="24"/>
          <w:szCs w:val="24"/>
        </w:rPr>
      </w:pPr>
      <w:r w:rsidRPr="00F639AB">
        <w:rPr>
          <w:sz w:val="24"/>
          <w:szCs w:val="24"/>
        </w:rPr>
        <w:t xml:space="preserve">Your horse’s only protection against EIA is prevention. Good management practices can reduce the potential of infection. </w:t>
      </w:r>
      <w:r w:rsidRPr="00F639AB">
        <w:rPr>
          <w:b/>
          <w:sz w:val="24"/>
          <w:szCs w:val="24"/>
        </w:rPr>
        <w:t>The following guidelines from the American Asso</w:t>
      </w:r>
      <w:r w:rsidRPr="00F639AB">
        <w:rPr>
          <w:b/>
          <w:sz w:val="24"/>
          <w:szCs w:val="24"/>
        </w:rPr>
        <w:t>ciation of Equine Practitioners (AAEP) will help:</w:t>
      </w:r>
    </w:p>
    <w:p w:rsidR="00F639AB" w:rsidRDefault="00F639AB" w:rsidP="00F639AB">
      <w:pPr>
        <w:rPr>
          <w:sz w:val="24"/>
          <w:szCs w:val="24"/>
        </w:rPr>
      </w:pPr>
    </w:p>
    <w:p w:rsidR="00067D17" w:rsidRPr="00F639AB" w:rsidRDefault="00F639AB" w:rsidP="00F639AB">
      <w:pPr>
        <w:pStyle w:val="ListParagraph"/>
        <w:numPr>
          <w:ilvl w:val="0"/>
          <w:numId w:val="2"/>
        </w:numPr>
        <w:rPr>
          <w:sz w:val="24"/>
          <w:szCs w:val="24"/>
        </w:rPr>
      </w:pPr>
      <w:r w:rsidRPr="00F639AB">
        <w:rPr>
          <w:sz w:val="24"/>
          <w:szCs w:val="24"/>
        </w:rPr>
        <w:t>Use disposable needles and syringes, one per horse, when administering vaccines and medications.</w:t>
      </w:r>
    </w:p>
    <w:p w:rsidR="00067D17" w:rsidRPr="00F639AB" w:rsidRDefault="00F639AB" w:rsidP="00F639AB">
      <w:pPr>
        <w:pStyle w:val="ListParagraph"/>
        <w:numPr>
          <w:ilvl w:val="0"/>
          <w:numId w:val="2"/>
        </w:numPr>
        <w:rPr>
          <w:sz w:val="24"/>
          <w:szCs w:val="24"/>
        </w:rPr>
      </w:pPr>
      <w:r w:rsidRPr="00F639AB">
        <w:rPr>
          <w:sz w:val="24"/>
          <w:szCs w:val="24"/>
        </w:rPr>
        <w:t>Sterilize dental tools and other instruments before using them on another</w:t>
      </w:r>
      <w:r w:rsidRPr="00F639AB">
        <w:rPr>
          <w:sz w:val="24"/>
          <w:szCs w:val="24"/>
        </w:rPr>
        <w:t xml:space="preserve"> </w:t>
      </w:r>
      <w:r w:rsidRPr="00F639AB">
        <w:rPr>
          <w:sz w:val="24"/>
          <w:szCs w:val="24"/>
        </w:rPr>
        <w:t>horse.</w:t>
      </w:r>
    </w:p>
    <w:p w:rsidR="00067D17" w:rsidRPr="00F639AB" w:rsidRDefault="00F639AB" w:rsidP="00F639AB">
      <w:pPr>
        <w:pStyle w:val="ListParagraph"/>
        <w:numPr>
          <w:ilvl w:val="0"/>
          <w:numId w:val="2"/>
        </w:numPr>
        <w:rPr>
          <w:sz w:val="24"/>
          <w:szCs w:val="24"/>
        </w:rPr>
      </w:pPr>
      <w:r w:rsidRPr="00F639AB">
        <w:rPr>
          <w:sz w:val="24"/>
          <w:szCs w:val="24"/>
        </w:rPr>
        <w:t>Test all horses for EIA at l</w:t>
      </w:r>
      <w:r w:rsidRPr="00F639AB">
        <w:rPr>
          <w:sz w:val="24"/>
          <w:szCs w:val="24"/>
        </w:rPr>
        <w:t>east</w:t>
      </w:r>
      <w:r w:rsidRPr="00F639AB">
        <w:rPr>
          <w:sz w:val="24"/>
          <w:szCs w:val="24"/>
        </w:rPr>
        <w:t xml:space="preserve"> </w:t>
      </w:r>
      <w:r w:rsidRPr="00F639AB">
        <w:rPr>
          <w:sz w:val="24"/>
          <w:szCs w:val="24"/>
        </w:rPr>
        <w:t>annually.</w:t>
      </w:r>
    </w:p>
    <w:p w:rsidR="00067D17" w:rsidRPr="00F639AB" w:rsidRDefault="00F639AB" w:rsidP="00F639AB">
      <w:pPr>
        <w:pStyle w:val="ListParagraph"/>
        <w:numPr>
          <w:ilvl w:val="0"/>
          <w:numId w:val="2"/>
        </w:numPr>
        <w:rPr>
          <w:sz w:val="24"/>
          <w:szCs w:val="24"/>
        </w:rPr>
      </w:pPr>
      <w:r w:rsidRPr="00F639AB">
        <w:rPr>
          <w:sz w:val="24"/>
          <w:szCs w:val="24"/>
        </w:rPr>
        <w:t>Test horses at the time of purchase</w:t>
      </w:r>
      <w:r w:rsidRPr="00F639AB">
        <w:rPr>
          <w:sz w:val="24"/>
          <w:szCs w:val="24"/>
        </w:rPr>
        <w:t xml:space="preserve"> </w:t>
      </w:r>
      <w:r w:rsidRPr="00F639AB">
        <w:rPr>
          <w:sz w:val="24"/>
          <w:szCs w:val="24"/>
        </w:rPr>
        <w:t>examination.</w:t>
      </w:r>
    </w:p>
    <w:p w:rsidR="00067D17" w:rsidRPr="00F639AB" w:rsidRDefault="00F639AB" w:rsidP="00F639AB">
      <w:pPr>
        <w:pStyle w:val="ListParagraph"/>
        <w:numPr>
          <w:ilvl w:val="0"/>
          <w:numId w:val="2"/>
        </w:numPr>
        <w:rPr>
          <w:sz w:val="24"/>
          <w:szCs w:val="24"/>
        </w:rPr>
      </w:pPr>
      <w:r w:rsidRPr="00F639AB">
        <w:rPr>
          <w:sz w:val="24"/>
          <w:szCs w:val="24"/>
        </w:rPr>
        <w:t>Stable owners and horse show and event managers should require and verify current negative Coggins certificates for all horses entering the</w:t>
      </w:r>
      <w:r w:rsidRPr="00F639AB">
        <w:rPr>
          <w:sz w:val="24"/>
          <w:szCs w:val="24"/>
        </w:rPr>
        <w:t xml:space="preserve"> </w:t>
      </w:r>
      <w:r w:rsidRPr="00F639AB">
        <w:rPr>
          <w:sz w:val="24"/>
          <w:szCs w:val="24"/>
        </w:rPr>
        <w:t>premises.</w:t>
      </w:r>
    </w:p>
    <w:p w:rsidR="00067D17" w:rsidRPr="00F639AB" w:rsidRDefault="00F639AB" w:rsidP="00F639AB">
      <w:pPr>
        <w:pStyle w:val="ListParagraph"/>
        <w:numPr>
          <w:ilvl w:val="0"/>
          <w:numId w:val="2"/>
        </w:numPr>
        <w:rPr>
          <w:sz w:val="24"/>
          <w:szCs w:val="24"/>
        </w:rPr>
      </w:pPr>
      <w:r w:rsidRPr="00F639AB">
        <w:rPr>
          <w:sz w:val="24"/>
          <w:szCs w:val="24"/>
        </w:rPr>
        <w:t>New horses should be quarantined for 45 days and observed for any signs of illness, including elevated temperatures, before introducing them to the herd. They should be retested if exposure to EIA is suspected at a 45-day</w:t>
      </w:r>
      <w:r w:rsidRPr="00F639AB">
        <w:rPr>
          <w:sz w:val="24"/>
          <w:szCs w:val="24"/>
        </w:rPr>
        <w:t xml:space="preserve"> </w:t>
      </w:r>
      <w:r w:rsidRPr="00F639AB">
        <w:rPr>
          <w:sz w:val="24"/>
          <w:szCs w:val="24"/>
        </w:rPr>
        <w:t>interval.</w:t>
      </w:r>
    </w:p>
    <w:p w:rsidR="00067D17" w:rsidRPr="00F639AB" w:rsidRDefault="00F639AB" w:rsidP="00F639AB">
      <w:pPr>
        <w:pStyle w:val="ListParagraph"/>
        <w:numPr>
          <w:ilvl w:val="0"/>
          <w:numId w:val="2"/>
        </w:numPr>
        <w:rPr>
          <w:sz w:val="24"/>
          <w:szCs w:val="24"/>
        </w:rPr>
      </w:pPr>
      <w:r w:rsidRPr="00F639AB">
        <w:rPr>
          <w:sz w:val="24"/>
          <w:szCs w:val="24"/>
        </w:rPr>
        <w:t xml:space="preserve">All stable areas should </w:t>
      </w:r>
      <w:r w:rsidRPr="00F639AB">
        <w:rPr>
          <w:sz w:val="24"/>
          <w:szCs w:val="24"/>
        </w:rPr>
        <w:t>be kept clean, dry and waste-free. Good pasture management techniques should also be practiced. Remove manure and provide adequate drainage to discourage breeding sites for</w:t>
      </w:r>
      <w:r w:rsidRPr="00F639AB">
        <w:rPr>
          <w:sz w:val="24"/>
          <w:szCs w:val="24"/>
        </w:rPr>
        <w:t xml:space="preserve"> </w:t>
      </w:r>
      <w:r w:rsidRPr="00F639AB">
        <w:rPr>
          <w:sz w:val="24"/>
          <w:szCs w:val="24"/>
        </w:rPr>
        <w:t>pests.</w:t>
      </w:r>
    </w:p>
    <w:p w:rsidR="00067D17" w:rsidRPr="00F639AB" w:rsidRDefault="00F639AB" w:rsidP="00F639AB">
      <w:pPr>
        <w:pStyle w:val="ListParagraph"/>
        <w:numPr>
          <w:ilvl w:val="0"/>
          <w:numId w:val="2"/>
        </w:numPr>
        <w:rPr>
          <w:sz w:val="24"/>
          <w:szCs w:val="24"/>
        </w:rPr>
      </w:pPr>
      <w:r w:rsidRPr="00F639AB">
        <w:rPr>
          <w:sz w:val="24"/>
          <w:szCs w:val="24"/>
        </w:rPr>
        <w:t>Horses at greater risk, such as those in frequent contact with outside horse</w:t>
      </w:r>
      <w:r w:rsidRPr="00F639AB">
        <w:rPr>
          <w:sz w:val="24"/>
          <w:szCs w:val="24"/>
        </w:rPr>
        <w:t>s or who live or travel in geographic regions known for EIA outbreaks, should be tested more frequently, every 4 to 6</w:t>
      </w:r>
      <w:r w:rsidRPr="00F639AB">
        <w:rPr>
          <w:sz w:val="24"/>
          <w:szCs w:val="24"/>
        </w:rPr>
        <w:t xml:space="preserve"> </w:t>
      </w:r>
      <w:r w:rsidRPr="00F639AB">
        <w:rPr>
          <w:sz w:val="24"/>
          <w:szCs w:val="24"/>
        </w:rPr>
        <w:t>months.</w:t>
      </w:r>
    </w:p>
    <w:p w:rsidR="00067D17" w:rsidRPr="00F639AB" w:rsidRDefault="00067D17" w:rsidP="00F639AB">
      <w:pPr>
        <w:rPr>
          <w:sz w:val="24"/>
          <w:szCs w:val="24"/>
        </w:rPr>
      </w:pPr>
    </w:p>
    <w:p w:rsidR="00067D17" w:rsidRPr="00F639AB" w:rsidRDefault="00F639AB" w:rsidP="00F639AB">
      <w:pPr>
        <w:rPr>
          <w:sz w:val="24"/>
          <w:szCs w:val="24"/>
        </w:rPr>
      </w:pPr>
      <w:r w:rsidRPr="00F639AB">
        <w:rPr>
          <w:sz w:val="24"/>
          <w:szCs w:val="24"/>
        </w:rPr>
        <w:t>For more information about EIA, ask your equine veterinarian.</w:t>
      </w:r>
      <w:r>
        <w:rPr>
          <w:sz w:val="24"/>
          <w:szCs w:val="24"/>
        </w:rPr>
        <w:t xml:space="preserve"> </w:t>
      </w:r>
      <w:r w:rsidRPr="00F639AB">
        <w:rPr>
          <w:sz w:val="24"/>
          <w:szCs w:val="24"/>
        </w:rPr>
        <w:t>Additional information can be found on the A</w:t>
      </w:r>
      <w:r w:rsidRPr="00F639AB">
        <w:rPr>
          <w:sz w:val="24"/>
          <w:szCs w:val="24"/>
        </w:rPr>
        <w:t>AEP’s websi</w:t>
      </w:r>
      <w:r w:rsidRPr="00F639AB">
        <w:rPr>
          <w:sz w:val="24"/>
          <w:szCs w:val="24"/>
        </w:rPr>
        <w:t xml:space="preserve">te  </w:t>
      </w:r>
      <w:hyperlink r:id="rId5">
        <w:r>
          <w:rPr>
            <w:rStyle w:val="Hyperlink"/>
            <w:sz w:val="24"/>
            <w:szCs w:val="24"/>
          </w:rPr>
          <w:t>www.aaep.org/.</w:t>
        </w:r>
      </w:hyperlink>
    </w:p>
    <w:p w:rsidR="00F639AB" w:rsidRDefault="00F639AB" w:rsidP="00F639AB">
      <w:pPr>
        <w:rPr>
          <w:sz w:val="24"/>
          <w:szCs w:val="24"/>
        </w:rPr>
      </w:pPr>
    </w:p>
    <w:p w:rsidR="00067D17" w:rsidRPr="00F639AB" w:rsidRDefault="00F639AB" w:rsidP="00F639AB">
      <w:pPr>
        <w:rPr>
          <w:i/>
          <w:sz w:val="24"/>
          <w:szCs w:val="24"/>
        </w:rPr>
      </w:pPr>
      <w:r w:rsidRPr="00F639AB">
        <w:rPr>
          <w:i/>
          <w:sz w:val="24"/>
          <w:szCs w:val="24"/>
        </w:rPr>
        <w:t>Reprinted with permission from the American Association of Equine Practitioners.</w:t>
      </w:r>
    </w:p>
    <w:p w:rsidR="00067D17" w:rsidRPr="00F639AB" w:rsidRDefault="00067D17" w:rsidP="00F639AB">
      <w:pPr>
        <w:rPr>
          <w:sz w:val="24"/>
          <w:szCs w:val="24"/>
        </w:rPr>
      </w:pPr>
      <w:bookmarkStart w:id="0" w:name="_GoBack"/>
      <w:bookmarkEnd w:id="0"/>
    </w:p>
    <w:sectPr w:rsidR="00067D17" w:rsidRPr="00F639AB">
      <w:pgSz w:w="12240" w:h="15840"/>
      <w:pgMar w:top="150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E41"/>
    <w:multiLevelType w:val="hybridMultilevel"/>
    <w:tmpl w:val="B13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04458"/>
    <w:multiLevelType w:val="hybridMultilevel"/>
    <w:tmpl w:val="67CC8376"/>
    <w:lvl w:ilvl="0" w:tplc="B630E5C0">
      <w:numFmt w:val="bullet"/>
      <w:lvlText w:val=""/>
      <w:lvlJc w:val="left"/>
      <w:pPr>
        <w:ind w:left="820" w:hanging="360"/>
      </w:pPr>
      <w:rPr>
        <w:rFonts w:ascii="Symbol" w:eastAsia="Symbol" w:hAnsi="Symbol" w:cs="Symbol" w:hint="default"/>
        <w:w w:val="100"/>
        <w:sz w:val="24"/>
        <w:szCs w:val="24"/>
      </w:rPr>
    </w:lvl>
    <w:lvl w:ilvl="1" w:tplc="B958E390">
      <w:numFmt w:val="bullet"/>
      <w:lvlText w:val="•"/>
      <w:lvlJc w:val="left"/>
      <w:pPr>
        <w:ind w:left="1728" w:hanging="360"/>
      </w:pPr>
      <w:rPr>
        <w:rFonts w:hint="default"/>
      </w:rPr>
    </w:lvl>
    <w:lvl w:ilvl="2" w:tplc="C0A6225C">
      <w:numFmt w:val="bullet"/>
      <w:lvlText w:val="•"/>
      <w:lvlJc w:val="left"/>
      <w:pPr>
        <w:ind w:left="2636" w:hanging="360"/>
      </w:pPr>
      <w:rPr>
        <w:rFonts w:hint="default"/>
      </w:rPr>
    </w:lvl>
    <w:lvl w:ilvl="3" w:tplc="90B85212">
      <w:numFmt w:val="bullet"/>
      <w:lvlText w:val="•"/>
      <w:lvlJc w:val="left"/>
      <w:pPr>
        <w:ind w:left="3544" w:hanging="360"/>
      </w:pPr>
      <w:rPr>
        <w:rFonts w:hint="default"/>
      </w:rPr>
    </w:lvl>
    <w:lvl w:ilvl="4" w:tplc="160E5898">
      <w:numFmt w:val="bullet"/>
      <w:lvlText w:val="•"/>
      <w:lvlJc w:val="left"/>
      <w:pPr>
        <w:ind w:left="4452" w:hanging="360"/>
      </w:pPr>
      <w:rPr>
        <w:rFonts w:hint="default"/>
      </w:rPr>
    </w:lvl>
    <w:lvl w:ilvl="5" w:tplc="3D7E905C">
      <w:numFmt w:val="bullet"/>
      <w:lvlText w:val="•"/>
      <w:lvlJc w:val="left"/>
      <w:pPr>
        <w:ind w:left="5360" w:hanging="360"/>
      </w:pPr>
      <w:rPr>
        <w:rFonts w:hint="default"/>
      </w:rPr>
    </w:lvl>
    <w:lvl w:ilvl="6" w:tplc="859C2A80">
      <w:numFmt w:val="bullet"/>
      <w:lvlText w:val="•"/>
      <w:lvlJc w:val="left"/>
      <w:pPr>
        <w:ind w:left="6268" w:hanging="360"/>
      </w:pPr>
      <w:rPr>
        <w:rFonts w:hint="default"/>
      </w:rPr>
    </w:lvl>
    <w:lvl w:ilvl="7" w:tplc="C6E867BC">
      <w:numFmt w:val="bullet"/>
      <w:lvlText w:val="•"/>
      <w:lvlJc w:val="left"/>
      <w:pPr>
        <w:ind w:left="7176" w:hanging="360"/>
      </w:pPr>
      <w:rPr>
        <w:rFonts w:hint="default"/>
      </w:rPr>
    </w:lvl>
    <w:lvl w:ilvl="8" w:tplc="1116F366">
      <w:numFmt w:val="bullet"/>
      <w:lvlText w:val="•"/>
      <w:lvlJc w:val="left"/>
      <w:pPr>
        <w:ind w:left="80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67D17"/>
    <w:rsid w:val="00067D17"/>
    <w:rsid w:val="00F6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6E20"/>
  <w15:docId w15:val="{1555F17A-D980-487C-BD5B-1E7BE3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ProtectyourHorsefromEIA.doc</dc:title>
  <dc:creator>Hannah Davis</dc:creator>
  <cp:lastModifiedBy>Lauren Thompson</cp:lastModifiedBy>
  <cp:revision>2</cp:revision>
  <dcterms:created xsi:type="dcterms:W3CDTF">2017-02-16T10:36:00Z</dcterms:created>
  <dcterms:modified xsi:type="dcterms:W3CDTF">2017-02-16T15:38:00Z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